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65" w:type="dxa"/>
        <w:tblInd w:w="-572" w:type="dxa"/>
        <w:tblLook w:val="04A0" w:firstRow="1" w:lastRow="0" w:firstColumn="1" w:lastColumn="0" w:noHBand="0" w:noVBand="1"/>
      </w:tblPr>
      <w:tblGrid>
        <w:gridCol w:w="1985"/>
        <w:gridCol w:w="8080"/>
      </w:tblGrid>
      <w:tr w:rsidR="006A6843" w:rsidRPr="00090F07" w14:paraId="00632CF1" w14:textId="77777777" w:rsidTr="00FC4F70">
        <w:tc>
          <w:tcPr>
            <w:tcW w:w="1985" w:type="dxa"/>
          </w:tcPr>
          <w:p w14:paraId="28423BCF" w14:textId="77777777" w:rsidR="006A6843" w:rsidRPr="00090F07" w:rsidRDefault="006A6843" w:rsidP="005B18EC">
            <w:pPr>
              <w:pStyle w:val="BodyText"/>
              <w:rPr>
                <w:b/>
                <w:bCs/>
                <w:sz w:val="20"/>
                <w:szCs w:val="20"/>
              </w:rPr>
            </w:pPr>
            <w:r w:rsidRPr="00090F07">
              <w:rPr>
                <w:b/>
                <w:bCs/>
                <w:sz w:val="20"/>
                <w:szCs w:val="20"/>
              </w:rPr>
              <w:t>Graphics</w:t>
            </w:r>
          </w:p>
        </w:tc>
        <w:tc>
          <w:tcPr>
            <w:tcW w:w="8080" w:type="dxa"/>
          </w:tcPr>
          <w:p w14:paraId="0FFD383D" w14:textId="77777777" w:rsidR="006A6843" w:rsidRPr="00090F07" w:rsidRDefault="006A6843" w:rsidP="005B18EC">
            <w:pPr>
              <w:pStyle w:val="BodyText"/>
              <w:rPr>
                <w:b/>
                <w:bCs/>
                <w:sz w:val="20"/>
                <w:szCs w:val="20"/>
              </w:rPr>
            </w:pPr>
            <w:r w:rsidRPr="00090F07">
              <w:rPr>
                <w:b/>
                <w:bCs/>
                <w:sz w:val="20"/>
                <w:szCs w:val="20"/>
              </w:rPr>
              <w:t>Script</w:t>
            </w:r>
          </w:p>
        </w:tc>
      </w:tr>
      <w:tr w:rsidR="006A6843" w:rsidRPr="00090F07" w14:paraId="48A92F2C" w14:textId="77777777" w:rsidTr="00FC4F70">
        <w:tc>
          <w:tcPr>
            <w:tcW w:w="1985" w:type="dxa"/>
          </w:tcPr>
          <w:p w14:paraId="77BFD68A" w14:textId="77777777" w:rsidR="006A6843" w:rsidRPr="00090F07" w:rsidRDefault="006A6843" w:rsidP="005B18EC">
            <w:pPr>
              <w:pStyle w:val="BodyText"/>
              <w:rPr>
                <w:sz w:val="20"/>
                <w:szCs w:val="20"/>
              </w:rPr>
            </w:pPr>
            <w:r w:rsidRPr="00090F07">
              <w:rPr>
                <w:sz w:val="20"/>
                <w:szCs w:val="20"/>
              </w:rPr>
              <w:t>Acknowledgement</w:t>
            </w:r>
          </w:p>
        </w:tc>
        <w:tc>
          <w:tcPr>
            <w:tcW w:w="8080" w:type="dxa"/>
          </w:tcPr>
          <w:p w14:paraId="159666CB" w14:textId="77777777" w:rsidR="006A6843" w:rsidRPr="00090F07" w:rsidRDefault="006A6843" w:rsidP="005B18EC">
            <w:pPr>
              <w:pStyle w:val="TableText"/>
              <w:rPr>
                <w:szCs w:val="20"/>
              </w:rPr>
            </w:pPr>
            <w:r w:rsidRPr="00090F07">
              <w:rPr>
                <w:szCs w:val="20"/>
              </w:rPr>
              <w:t xml:space="preserve">The following video has been filmed on Kaurna Land. </w:t>
            </w:r>
          </w:p>
          <w:p w14:paraId="45F248F2" w14:textId="77777777" w:rsidR="006A6843" w:rsidRPr="00090F07" w:rsidRDefault="006A6843" w:rsidP="005B18EC">
            <w:pPr>
              <w:pStyle w:val="TableText"/>
              <w:rPr>
                <w:szCs w:val="20"/>
              </w:rPr>
            </w:pPr>
            <w:r w:rsidRPr="00090F07">
              <w:rPr>
                <w:szCs w:val="20"/>
              </w:rPr>
              <w:t xml:space="preserve">We acknowledge this is the traditional country of the Kaurna people of the Adelaide Plains and pay respect to Elders past and present. </w:t>
            </w:r>
          </w:p>
          <w:p w14:paraId="7AE54586" w14:textId="77777777" w:rsidR="006A6843" w:rsidRPr="00090F07" w:rsidRDefault="006A6843" w:rsidP="005B18EC">
            <w:pPr>
              <w:pStyle w:val="TableText"/>
              <w:rPr>
                <w:szCs w:val="20"/>
              </w:rPr>
            </w:pPr>
            <w:r w:rsidRPr="00090F07">
              <w:rPr>
                <w:szCs w:val="20"/>
              </w:rPr>
              <w:t>We recognise their cultural heritage, beliefs and relationship with the land and respect that they are of continuing importance to the Kaurna people living today.</w:t>
            </w:r>
          </w:p>
        </w:tc>
      </w:tr>
      <w:tr w:rsidR="006A6843" w:rsidRPr="00090F07" w14:paraId="7C2D8990" w14:textId="77777777" w:rsidTr="00FC4F70">
        <w:tc>
          <w:tcPr>
            <w:tcW w:w="1985" w:type="dxa"/>
          </w:tcPr>
          <w:p w14:paraId="171ECC2B"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138B3F00" w14:textId="5DB04C39" w:rsidR="006A6843" w:rsidRPr="00090F07" w:rsidRDefault="00F15948" w:rsidP="005B18EC">
            <w:pPr>
              <w:pStyle w:val="BodyText"/>
              <w:rPr>
                <w:b/>
                <w:bCs/>
                <w:sz w:val="20"/>
                <w:szCs w:val="20"/>
              </w:rPr>
            </w:pPr>
            <w:r>
              <w:rPr>
                <w:sz w:val="20"/>
                <w:szCs w:val="20"/>
              </w:rPr>
              <w:t>Your r</w:t>
            </w:r>
            <w:r w:rsidR="006A6843" w:rsidRPr="00090F07">
              <w:rPr>
                <w:sz w:val="20"/>
                <w:szCs w:val="20"/>
              </w:rPr>
              <w:t>ight to information</w:t>
            </w:r>
          </w:p>
          <w:p w14:paraId="5FFCB160" w14:textId="29DA74B0" w:rsidR="006A6843" w:rsidRPr="00090F07" w:rsidRDefault="00A04188" w:rsidP="005B18EC">
            <w:pPr>
              <w:pStyle w:val="BodyText"/>
              <w:rPr>
                <w:b/>
                <w:bCs/>
                <w:sz w:val="20"/>
                <w:szCs w:val="20"/>
              </w:rPr>
            </w:pPr>
            <w:r>
              <w:rPr>
                <w:b/>
                <w:bCs/>
                <w:sz w:val="20"/>
                <w:szCs w:val="20"/>
              </w:rPr>
              <w:t xml:space="preserve">Youth Justice </w:t>
            </w:r>
            <w:r w:rsidR="006A6843" w:rsidRPr="00090F07">
              <w:rPr>
                <w:b/>
                <w:bCs/>
                <w:sz w:val="20"/>
                <w:szCs w:val="20"/>
              </w:rPr>
              <w:t>Victims’ Register</w:t>
            </w:r>
            <w:r w:rsidR="006A6843" w:rsidRPr="00090F07">
              <w:rPr>
                <w:b/>
                <w:bCs/>
                <w:sz w:val="20"/>
                <w:szCs w:val="20"/>
              </w:rPr>
              <w:br/>
              <w:t xml:space="preserve">Department for </w:t>
            </w:r>
            <w:r>
              <w:rPr>
                <w:b/>
                <w:bCs/>
                <w:sz w:val="20"/>
                <w:szCs w:val="20"/>
              </w:rPr>
              <w:t>Human Services</w:t>
            </w:r>
          </w:p>
        </w:tc>
      </w:tr>
      <w:tr w:rsidR="006A6843" w:rsidRPr="00090F07" w14:paraId="65E443D7" w14:textId="77777777" w:rsidTr="00FC4F70">
        <w:tc>
          <w:tcPr>
            <w:tcW w:w="1985" w:type="dxa"/>
          </w:tcPr>
          <w:p w14:paraId="7A034368" w14:textId="2A961022" w:rsidR="006A6843" w:rsidRPr="00090F07" w:rsidRDefault="00F15948" w:rsidP="005B18EC">
            <w:pPr>
              <w:pStyle w:val="BodyText"/>
              <w:rPr>
                <w:sz w:val="20"/>
                <w:szCs w:val="20"/>
              </w:rPr>
            </w:pPr>
            <w:r>
              <w:rPr>
                <w:rFonts w:ascii="Roboto" w:hAnsi="Roboto"/>
                <w:color w:val="606060"/>
                <w:spacing w:val="2"/>
                <w:sz w:val="18"/>
                <w:szCs w:val="18"/>
                <w:shd w:val="clear" w:color="auto" w:fill="FFFFFF"/>
              </w:rPr>
              <w:t>Fiona Curnow</w:t>
            </w:r>
          </w:p>
        </w:tc>
        <w:tc>
          <w:tcPr>
            <w:tcW w:w="8080" w:type="dxa"/>
          </w:tcPr>
          <w:p w14:paraId="6A3DF4C6" w14:textId="6176B9F2" w:rsidR="00F15948" w:rsidRPr="00090F07" w:rsidRDefault="00F15948" w:rsidP="00F15948">
            <w:pPr>
              <w:pStyle w:val="BodyText"/>
              <w:rPr>
                <w:rFonts w:ascii="Calibri" w:hAnsi="Calibri"/>
                <w:sz w:val="20"/>
                <w:szCs w:val="20"/>
              </w:rPr>
            </w:pPr>
            <w:r>
              <w:rPr>
                <w:rFonts w:ascii="Calibri" w:hAnsi="Calibri"/>
                <w:sz w:val="20"/>
                <w:szCs w:val="20"/>
              </w:rPr>
              <w:t>M</w:t>
            </w:r>
            <w:r w:rsidRPr="00F15948">
              <w:rPr>
                <w:rFonts w:ascii="Calibri" w:hAnsi="Calibri"/>
                <w:sz w:val="20"/>
                <w:szCs w:val="20"/>
              </w:rPr>
              <w:t xml:space="preserve">y name's </w:t>
            </w:r>
            <w:r>
              <w:rPr>
                <w:rFonts w:ascii="Calibri" w:hAnsi="Calibri"/>
                <w:sz w:val="20"/>
                <w:szCs w:val="20"/>
              </w:rPr>
              <w:t>F</w:t>
            </w:r>
            <w:r w:rsidRPr="00F15948">
              <w:rPr>
                <w:rFonts w:ascii="Calibri" w:hAnsi="Calibri"/>
                <w:sz w:val="20"/>
                <w:szCs w:val="20"/>
              </w:rPr>
              <w:t xml:space="preserve">iona </w:t>
            </w:r>
            <w:r>
              <w:rPr>
                <w:rFonts w:ascii="Calibri" w:hAnsi="Calibri"/>
                <w:sz w:val="20"/>
                <w:szCs w:val="20"/>
              </w:rPr>
              <w:t>C</w:t>
            </w:r>
            <w:r w:rsidRPr="00F15948">
              <w:rPr>
                <w:rFonts w:ascii="Calibri" w:hAnsi="Calibri"/>
                <w:sz w:val="20"/>
                <w:szCs w:val="20"/>
              </w:rPr>
              <w:t xml:space="preserve">urnow </w:t>
            </w:r>
            <w:r w:rsidRPr="00F15948">
              <w:rPr>
                <w:rFonts w:ascii="Calibri" w:hAnsi="Calibri"/>
                <w:sz w:val="20"/>
                <w:szCs w:val="20"/>
              </w:rPr>
              <w:t>I’m</w:t>
            </w:r>
            <w:r w:rsidRPr="00F15948">
              <w:rPr>
                <w:rFonts w:ascii="Calibri" w:hAnsi="Calibri"/>
                <w:sz w:val="20"/>
                <w:szCs w:val="20"/>
              </w:rPr>
              <w:t xml:space="preserve"> the </w:t>
            </w:r>
            <w:r>
              <w:rPr>
                <w:rFonts w:ascii="Calibri" w:hAnsi="Calibri"/>
                <w:sz w:val="20"/>
                <w:szCs w:val="20"/>
              </w:rPr>
              <w:t>D</w:t>
            </w:r>
            <w:r w:rsidRPr="00F15948">
              <w:rPr>
                <w:rFonts w:ascii="Calibri" w:hAnsi="Calibri"/>
                <w:sz w:val="20"/>
                <w:szCs w:val="20"/>
              </w:rPr>
              <w:t xml:space="preserve">irector for </w:t>
            </w:r>
            <w:r>
              <w:rPr>
                <w:rFonts w:ascii="Calibri" w:hAnsi="Calibri"/>
                <w:sz w:val="20"/>
                <w:szCs w:val="20"/>
              </w:rPr>
              <w:t>C</w:t>
            </w:r>
            <w:r w:rsidRPr="00F15948">
              <w:rPr>
                <w:rFonts w:ascii="Calibri" w:hAnsi="Calibri"/>
                <w:sz w:val="20"/>
                <w:szCs w:val="20"/>
              </w:rPr>
              <w:t xml:space="preserve">ommunities and </w:t>
            </w:r>
            <w:r>
              <w:rPr>
                <w:rFonts w:ascii="Calibri" w:hAnsi="Calibri"/>
                <w:sz w:val="20"/>
                <w:szCs w:val="20"/>
              </w:rPr>
              <w:t>J</w:t>
            </w:r>
            <w:r w:rsidRPr="00F15948">
              <w:rPr>
                <w:rFonts w:ascii="Calibri" w:hAnsi="Calibri"/>
                <w:sz w:val="20"/>
                <w:szCs w:val="20"/>
              </w:rPr>
              <w:t xml:space="preserve">ustice and </w:t>
            </w:r>
            <w:r w:rsidRPr="00F15948">
              <w:rPr>
                <w:rFonts w:ascii="Calibri" w:hAnsi="Calibri"/>
                <w:sz w:val="20"/>
                <w:szCs w:val="20"/>
              </w:rPr>
              <w:t>I’m</w:t>
            </w:r>
            <w:r w:rsidRPr="00F15948">
              <w:rPr>
                <w:rFonts w:ascii="Calibri" w:hAnsi="Calibri"/>
                <w:sz w:val="20"/>
                <w:szCs w:val="20"/>
              </w:rPr>
              <w:t xml:space="preserve"> from the </w:t>
            </w:r>
            <w:r>
              <w:rPr>
                <w:rFonts w:ascii="Calibri" w:hAnsi="Calibri"/>
                <w:sz w:val="20"/>
                <w:szCs w:val="20"/>
              </w:rPr>
              <w:t>D</w:t>
            </w:r>
            <w:r w:rsidRPr="00F15948">
              <w:rPr>
                <w:rFonts w:ascii="Calibri" w:hAnsi="Calibri"/>
                <w:sz w:val="20"/>
                <w:szCs w:val="20"/>
              </w:rPr>
              <w:t xml:space="preserve">epartment for </w:t>
            </w:r>
            <w:r>
              <w:rPr>
                <w:rFonts w:ascii="Calibri" w:hAnsi="Calibri"/>
                <w:sz w:val="20"/>
                <w:szCs w:val="20"/>
              </w:rPr>
              <w:t>H</w:t>
            </w:r>
            <w:r w:rsidRPr="00F15948">
              <w:rPr>
                <w:rFonts w:ascii="Calibri" w:hAnsi="Calibri"/>
                <w:sz w:val="20"/>
                <w:szCs w:val="20"/>
              </w:rPr>
              <w:t xml:space="preserve">uman </w:t>
            </w:r>
            <w:r>
              <w:rPr>
                <w:rFonts w:ascii="Calibri" w:hAnsi="Calibri"/>
                <w:sz w:val="20"/>
                <w:szCs w:val="20"/>
              </w:rPr>
              <w:t>S</w:t>
            </w:r>
            <w:r w:rsidRPr="00F15948">
              <w:rPr>
                <w:rFonts w:ascii="Calibri" w:hAnsi="Calibri"/>
                <w:sz w:val="20"/>
                <w:szCs w:val="20"/>
              </w:rPr>
              <w:t>ervices</w:t>
            </w:r>
            <w:r>
              <w:rPr>
                <w:rFonts w:ascii="Calibri" w:hAnsi="Calibri"/>
                <w:sz w:val="20"/>
                <w:szCs w:val="20"/>
              </w:rPr>
              <w:t xml:space="preserve">. </w:t>
            </w:r>
          </w:p>
        </w:tc>
      </w:tr>
      <w:tr w:rsidR="006A6843" w:rsidRPr="00090F07" w14:paraId="395FFB03" w14:textId="77777777" w:rsidTr="00FC4F70">
        <w:tc>
          <w:tcPr>
            <w:tcW w:w="1985" w:type="dxa"/>
          </w:tcPr>
          <w:p w14:paraId="010B8F3D"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3382BB80" w14:textId="77777777" w:rsidR="006A6843" w:rsidRPr="00090F07" w:rsidRDefault="006A6843" w:rsidP="005B18EC">
            <w:pPr>
              <w:pStyle w:val="BodyText"/>
              <w:rPr>
                <w:b/>
                <w:bCs/>
                <w:sz w:val="20"/>
                <w:szCs w:val="20"/>
              </w:rPr>
            </w:pPr>
            <w:r w:rsidRPr="00090F07">
              <w:rPr>
                <w:b/>
                <w:bCs/>
                <w:sz w:val="20"/>
                <w:szCs w:val="20"/>
              </w:rPr>
              <w:t>Tell us about what you do</w:t>
            </w:r>
          </w:p>
        </w:tc>
      </w:tr>
      <w:tr w:rsidR="006A6843" w:rsidRPr="00090F07" w14:paraId="08BFC2E1" w14:textId="77777777" w:rsidTr="00FC4F70">
        <w:tc>
          <w:tcPr>
            <w:tcW w:w="1985" w:type="dxa"/>
          </w:tcPr>
          <w:p w14:paraId="322D7B71" w14:textId="77777777" w:rsidR="006A6843" w:rsidRPr="00090F07" w:rsidRDefault="006A6843" w:rsidP="005B18EC">
            <w:pPr>
              <w:pStyle w:val="BodyText"/>
              <w:rPr>
                <w:sz w:val="20"/>
                <w:szCs w:val="20"/>
              </w:rPr>
            </w:pPr>
            <w:r w:rsidRPr="00090F07">
              <w:rPr>
                <w:sz w:val="20"/>
                <w:szCs w:val="20"/>
              </w:rPr>
              <w:t>Filmed interview</w:t>
            </w:r>
          </w:p>
        </w:tc>
        <w:tc>
          <w:tcPr>
            <w:tcW w:w="8080" w:type="dxa"/>
          </w:tcPr>
          <w:p w14:paraId="1FD35064" w14:textId="5A468B0B" w:rsidR="006A6843" w:rsidRPr="00F15948" w:rsidRDefault="006A6843" w:rsidP="00F15948">
            <w:pPr>
              <w:pStyle w:val="BodyText"/>
              <w:rPr>
                <w:rFonts w:ascii="Calibri" w:hAnsi="Calibri"/>
                <w:sz w:val="20"/>
                <w:szCs w:val="20"/>
              </w:rPr>
            </w:pPr>
            <w:r w:rsidRPr="00090F07">
              <w:rPr>
                <w:rFonts w:ascii="inherit" w:hAnsi="inherit" w:cs="Segoe UI"/>
                <w:color w:val="201F1E"/>
                <w:sz w:val="20"/>
                <w:szCs w:val="20"/>
                <w:bdr w:val="none" w:sz="0" w:space="0" w:color="auto" w:frame="1"/>
              </w:rPr>
              <w:t xml:space="preserve"> </w:t>
            </w:r>
            <w:r w:rsidR="00F15948">
              <w:rPr>
                <w:rFonts w:ascii="inherit" w:hAnsi="inherit"/>
                <w:color w:val="201F1E"/>
                <w:sz w:val="20"/>
                <w:szCs w:val="20"/>
                <w:bdr w:val="none" w:sz="0" w:space="0" w:color="auto" w:frame="1"/>
              </w:rPr>
              <w:t>S</w:t>
            </w:r>
            <w:r w:rsidR="00F15948" w:rsidRPr="00F15948">
              <w:rPr>
                <w:rFonts w:ascii="Calibri" w:hAnsi="Calibri"/>
                <w:sz w:val="20"/>
                <w:szCs w:val="20"/>
              </w:rPr>
              <w:t>ure the victims registering youth justice has been operating since 2010 and it is a register established for victims of crime committed by children or young people who have been sentenced to a period of detention or imprisonment to register their details so that we can keep them updated about the particular aspects of the young person situation</w:t>
            </w:r>
            <w:r w:rsidR="00F15948">
              <w:rPr>
                <w:rFonts w:ascii="Calibri" w:hAnsi="Calibri"/>
                <w:sz w:val="20"/>
                <w:szCs w:val="20"/>
              </w:rPr>
              <w:t xml:space="preserve">. </w:t>
            </w:r>
          </w:p>
        </w:tc>
      </w:tr>
      <w:tr w:rsidR="006A6843" w:rsidRPr="00090F07" w14:paraId="15C7C2F1" w14:textId="77777777" w:rsidTr="00FC4F70">
        <w:tc>
          <w:tcPr>
            <w:tcW w:w="1985" w:type="dxa"/>
          </w:tcPr>
          <w:p w14:paraId="3FA3EE35"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0EF63123" w14:textId="17EC4F17" w:rsidR="006A6843" w:rsidRPr="00090F07" w:rsidRDefault="006A6843" w:rsidP="005B18EC">
            <w:pPr>
              <w:pStyle w:val="BodyText"/>
              <w:rPr>
                <w:b/>
                <w:bCs/>
                <w:sz w:val="20"/>
                <w:szCs w:val="20"/>
              </w:rPr>
            </w:pPr>
            <w:r w:rsidRPr="00090F07">
              <w:rPr>
                <w:b/>
                <w:bCs/>
                <w:sz w:val="20"/>
                <w:szCs w:val="20"/>
              </w:rPr>
              <w:t xml:space="preserve">How </w:t>
            </w:r>
            <w:r w:rsidR="00F15948">
              <w:rPr>
                <w:b/>
                <w:bCs/>
                <w:sz w:val="20"/>
                <w:szCs w:val="20"/>
              </w:rPr>
              <w:t>is youth justice different?</w:t>
            </w:r>
          </w:p>
        </w:tc>
      </w:tr>
      <w:tr w:rsidR="006A6843" w:rsidRPr="00090F07" w14:paraId="61E2C194" w14:textId="77777777" w:rsidTr="00FC4F70">
        <w:tc>
          <w:tcPr>
            <w:tcW w:w="1985" w:type="dxa"/>
          </w:tcPr>
          <w:p w14:paraId="2B8E4602" w14:textId="77777777" w:rsidR="006A6843" w:rsidRPr="00090F07" w:rsidRDefault="006A6843" w:rsidP="005B18EC">
            <w:pPr>
              <w:pStyle w:val="BodyText"/>
              <w:tabs>
                <w:tab w:val="center" w:pos="1023"/>
              </w:tabs>
              <w:rPr>
                <w:sz w:val="20"/>
                <w:szCs w:val="20"/>
              </w:rPr>
            </w:pPr>
            <w:r w:rsidRPr="00090F07">
              <w:rPr>
                <w:sz w:val="20"/>
                <w:szCs w:val="20"/>
              </w:rPr>
              <w:t>Filmed interview</w:t>
            </w:r>
          </w:p>
        </w:tc>
        <w:tc>
          <w:tcPr>
            <w:tcW w:w="8080" w:type="dxa"/>
          </w:tcPr>
          <w:p w14:paraId="022F0BC2" w14:textId="37D0BBEC" w:rsidR="006A6843" w:rsidRPr="00F15948" w:rsidRDefault="00F15948" w:rsidP="00F15948">
            <w:pPr>
              <w:pStyle w:val="BodyText"/>
              <w:rPr>
                <w:rFonts w:ascii="Calibri" w:hAnsi="Calibri"/>
                <w:sz w:val="20"/>
                <w:szCs w:val="20"/>
              </w:rPr>
            </w:pPr>
            <w:r>
              <w:rPr>
                <w:rFonts w:ascii="Calibri" w:hAnsi="Calibri"/>
                <w:sz w:val="20"/>
                <w:szCs w:val="20"/>
              </w:rPr>
              <w:t>W</w:t>
            </w:r>
            <w:r w:rsidRPr="00F15948">
              <w:rPr>
                <w:rFonts w:ascii="Calibri" w:hAnsi="Calibri"/>
                <w:sz w:val="20"/>
                <w:szCs w:val="20"/>
              </w:rPr>
              <w:t>ell what we often see with young people is an inability to recognise the difference between knowing that they've done something wrong and knowing that they've done something criminally wrong</w:t>
            </w:r>
            <w:r>
              <w:rPr>
                <w:rFonts w:ascii="Calibri" w:hAnsi="Calibri"/>
                <w:sz w:val="20"/>
                <w:szCs w:val="20"/>
              </w:rPr>
              <w:t>. T</w:t>
            </w:r>
            <w:r w:rsidRPr="00F15948">
              <w:rPr>
                <w:rFonts w:ascii="Calibri" w:hAnsi="Calibri"/>
                <w:sz w:val="20"/>
                <w:szCs w:val="20"/>
              </w:rPr>
              <w:t xml:space="preserve">wo quite different ways of thinking and so we see young people engaged in impulsive </w:t>
            </w:r>
            <w:r w:rsidRPr="00F15948">
              <w:rPr>
                <w:rFonts w:ascii="Calibri" w:hAnsi="Calibri"/>
                <w:sz w:val="20"/>
                <w:szCs w:val="20"/>
              </w:rPr>
              <w:t>behaviour</w:t>
            </w:r>
            <w:r w:rsidRPr="00F15948">
              <w:rPr>
                <w:rFonts w:ascii="Calibri" w:hAnsi="Calibri"/>
                <w:sz w:val="20"/>
                <w:szCs w:val="20"/>
              </w:rPr>
              <w:t xml:space="preserve"> most of the time the youth justice system is designed recognising that young people are different to adults may not have formed their own understanding of the impact of their behaviour yet and so we work with young people aged 10 to 18 at the time of their offence</w:t>
            </w:r>
            <w:r>
              <w:rPr>
                <w:rFonts w:ascii="Calibri" w:hAnsi="Calibri"/>
                <w:sz w:val="20"/>
                <w:szCs w:val="20"/>
              </w:rPr>
              <w:t xml:space="preserve">. </w:t>
            </w:r>
          </w:p>
        </w:tc>
      </w:tr>
      <w:tr w:rsidR="006A6843" w:rsidRPr="00090F07" w14:paraId="1D9E138A" w14:textId="77777777" w:rsidTr="00FC4F70">
        <w:tc>
          <w:tcPr>
            <w:tcW w:w="1985" w:type="dxa"/>
          </w:tcPr>
          <w:p w14:paraId="53293C22"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6FF4CE5F" w14:textId="1509FEDD" w:rsidR="006A6843" w:rsidRPr="00090F07" w:rsidRDefault="006A6843" w:rsidP="005B18EC">
            <w:pPr>
              <w:pStyle w:val="BodyText"/>
              <w:rPr>
                <w:b/>
                <w:bCs/>
                <w:sz w:val="20"/>
                <w:szCs w:val="20"/>
              </w:rPr>
            </w:pPr>
            <w:r w:rsidRPr="00090F07">
              <w:rPr>
                <w:b/>
                <w:bCs/>
                <w:sz w:val="20"/>
                <w:szCs w:val="20"/>
              </w:rPr>
              <w:t xml:space="preserve">What </w:t>
            </w:r>
            <w:r w:rsidR="00F15948">
              <w:rPr>
                <w:b/>
                <w:bCs/>
                <w:sz w:val="20"/>
                <w:szCs w:val="20"/>
              </w:rPr>
              <w:t>sort of information is available to victims?</w:t>
            </w:r>
          </w:p>
        </w:tc>
      </w:tr>
      <w:tr w:rsidR="006A6843" w:rsidRPr="00090F07" w14:paraId="11CB1891" w14:textId="77777777" w:rsidTr="00FC4F70">
        <w:tc>
          <w:tcPr>
            <w:tcW w:w="1985" w:type="dxa"/>
          </w:tcPr>
          <w:p w14:paraId="546066E1" w14:textId="77777777" w:rsidR="006A6843" w:rsidRPr="00090F07" w:rsidRDefault="006A6843" w:rsidP="005B18EC">
            <w:pPr>
              <w:pStyle w:val="BodyText"/>
              <w:rPr>
                <w:sz w:val="20"/>
                <w:szCs w:val="20"/>
              </w:rPr>
            </w:pPr>
            <w:r w:rsidRPr="00090F07">
              <w:rPr>
                <w:sz w:val="20"/>
                <w:szCs w:val="20"/>
              </w:rPr>
              <w:t>Filmed interview</w:t>
            </w:r>
          </w:p>
        </w:tc>
        <w:tc>
          <w:tcPr>
            <w:tcW w:w="8080" w:type="dxa"/>
          </w:tcPr>
          <w:p w14:paraId="6A8BD72F" w14:textId="2C2D6357" w:rsidR="006A6843" w:rsidRPr="00F15948" w:rsidRDefault="00F15948" w:rsidP="00F15948">
            <w:pPr>
              <w:pStyle w:val="BodyText"/>
              <w:rPr>
                <w:rFonts w:ascii="Calibri" w:hAnsi="Calibri"/>
                <w:sz w:val="20"/>
                <w:szCs w:val="20"/>
              </w:rPr>
            </w:pPr>
            <w:r>
              <w:rPr>
                <w:rFonts w:ascii="Calibri" w:hAnsi="Calibri"/>
                <w:sz w:val="20"/>
                <w:szCs w:val="20"/>
              </w:rPr>
              <w:t>W</w:t>
            </w:r>
            <w:r w:rsidRPr="00F15948">
              <w:rPr>
                <w:rFonts w:ascii="Calibri" w:hAnsi="Calibri"/>
                <w:sz w:val="20"/>
                <w:szCs w:val="20"/>
              </w:rPr>
              <w:t>e generally encourage people to register for the victims register so they can be made aware of where a person has been detained if there's a change in circumstances for that young person if they're being moved in between facilities for example if there's an escape from custody we're able to disclose that to the to the registered victims or similarly if they're applying for conditional release or going for home detention we can disclose where the person may be moving to the general area</w:t>
            </w:r>
            <w:r>
              <w:rPr>
                <w:rFonts w:ascii="Calibri" w:hAnsi="Calibri"/>
                <w:sz w:val="20"/>
                <w:szCs w:val="20"/>
              </w:rPr>
              <w:t xml:space="preserve">. </w:t>
            </w:r>
          </w:p>
        </w:tc>
      </w:tr>
      <w:tr w:rsidR="00F15948" w:rsidRPr="00090F07" w14:paraId="326F307A" w14:textId="77777777" w:rsidTr="00FC4F70">
        <w:tc>
          <w:tcPr>
            <w:tcW w:w="1985" w:type="dxa"/>
          </w:tcPr>
          <w:p w14:paraId="74E39048" w14:textId="77777777" w:rsidR="00F15948" w:rsidRPr="00090F07" w:rsidRDefault="00F15948" w:rsidP="005B18EC">
            <w:pPr>
              <w:pStyle w:val="BodyText"/>
              <w:rPr>
                <w:sz w:val="20"/>
                <w:szCs w:val="20"/>
              </w:rPr>
            </w:pPr>
          </w:p>
        </w:tc>
        <w:tc>
          <w:tcPr>
            <w:tcW w:w="8080" w:type="dxa"/>
          </w:tcPr>
          <w:p w14:paraId="5923187C" w14:textId="0C7D219A" w:rsidR="00F15948" w:rsidRDefault="00F15948" w:rsidP="00F15948">
            <w:pPr>
              <w:pStyle w:val="BodyText"/>
              <w:rPr>
                <w:rFonts w:ascii="Calibri" w:hAnsi="Calibri"/>
                <w:sz w:val="20"/>
                <w:szCs w:val="20"/>
              </w:rPr>
            </w:pPr>
            <w:r>
              <w:rPr>
                <w:rFonts w:ascii="Calibri" w:hAnsi="Calibri"/>
                <w:sz w:val="20"/>
                <w:szCs w:val="20"/>
              </w:rPr>
              <w:t>What do victims need when they come to you?</w:t>
            </w:r>
          </w:p>
        </w:tc>
      </w:tr>
      <w:tr w:rsidR="00F15948" w:rsidRPr="00090F07" w14:paraId="7FFB700F" w14:textId="77777777" w:rsidTr="00FC4F70">
        <w:tc>
          <w:tcPr>
            <w:tcW w:w="1985" w:type="dxa"/>
          </w:tcPr>
          <w:p w14:paraId="6EA39395" w14:textId="77777777" w:rsidR="00F15948" w:rsidRPr="00090F07" w:rsidRDefault="00F15948" w:rsidP="005B18EC">
            <w:pPr>
              <w:pStyle w:val="BodyText"/>
              <w:rPr>
                <w:sz w:val="20"/>
                <w:szCs w:val="20"/>
              </w:rPr>
            </w:pPr>
          </w:p>
        </w:tc>
        <w:tc>
          <w:tcPr>
            <w:tcW w:w="8080" w:type="dxa"/>
          </w:tcPr>
          <w:p w14:paraId="14619E1D" w14:textId="325D078D" w:rsidR="00F15948" w:rsidRDefault="00F15948" w:rsidP="00F15948">
            <w:pPr>
              <w:pStyle w:val="BodyText"/>
              <w:rPr>
                <w:rFonts w:ascii="Calibri" w:hAnsi="Calibri"/>
                <w:sz w:val="20"/>
                <w:szCs w:val="20"/>
              </w:rPr>
            </w:pPr>
            <w:r>
              <w:rPr>
                <w:rFonts w:ascii="Calibri" w:hAnsi="Calibri"/>
                <w:sz w:val="20"/>
                <w:szCs w:val="20"/>
              </w:rPr>
              <w:t>I</w:t>
            </w:r>
            <w:r w:rsidRPr="00F15948">
              <w:rPr>
                <w:rFonts w:ascii="Calibri" w:hAnsi="Calibri"/>
                <w:sz w:val="20"/>
                <w:szCs w:val="20"/>
              </w:rPr>
              <w:t xml:space="preserve"> think definitely that sense of safety particularly for quite serious crimes </w:t>
            </w:r>
            <w:proofErr w:type="spellStart"/>
            <w:r w:rsidRPr="00F15948">
              <w:rPr>
                <w:rFonts w:ascii="Calibri" w:hAnsi="Calibri"/>
                <w:sz w:val="20"/>
                <w:szCs w:val="20"/>
              </w:rPr>
              <w:t>i</w:t>
            </w:r>
            <w:proofErr w:type="spellEnd"/>
            <w:r w:rsidRPr="00F15948">
              <w:rPr>
                <w:rFonts w:ascii="Calibri" w:hAnsi="Calibri"/>
                <w:sz w:val="20"/>
                <w:szCs w:val="20"/>
              </w:rPr>
              <w:t xml:space="preserve"> think they also just want to know that we're listening throughout all of the process and that we're taking into consideration what the impact of our decisions may be on them we see it in the court we see it at conditional release training </w:t>
            </w:r>
            <w:r w:rsidRPr="00F15948">
              <w:rPr>
                <w:rFonts w:ascii="Calibri" w:hAnsi="Calibri"/>
                <w:sz w:val="20"/>
                <w:szCs w:val="20"/>
              </w:rPr>
              <w:t>centre</w:t>
            </w:r>
            <w:r w:rsidRPr="00F15948">
              <w:rPr>
                <w:rFonts w:ascii="Calibri" w:hAnsi="Calibri"/>
                <w:sz w:val="20"/>
                <w:szCs w:val="20"/>
              </w:rPr>
              <w:t xml:space="preserve"> review board hearings and we still even through just general conversations that our officers have with victims through the victims register they just like to know that things are being taken seriously and that we're doing all we can to help young people become better that's something that it's sometimes surprising for us when we speak to victims and all they really care about is that young people understand that their crime was serious and that they can do something better with their own life</w:t>
            </w:r>
            <w:r>
              <w:rPr>
                <w:rFonts w:ascii="Calibri" w:hAnsi="Calibri"/>
                <w:sz w:val="20"/>
                <w:szCs w:val="20"/>
              </w:rPr>
              <w:t xml:space="preserve">. </w:t>
            </w:r>
          </w:p>
        </w:tc>
      </w:tr>
      <w:tr w:rsidR="00F15948" w:rsidRPr="00090F07" w14:paraId="62553EFB" w14:textId="77777777" w:rsidTr="00FC4F70">
        <w:tc>
          <w:tcPr>
            <w:tcW w:w="1985" w:type="dxa"/>
          </w:tcPr>
          <w:p w14:paraId="44086330" w14:textId="77777777" w:rsidR="00F15948" w:rsidRPr="00090F07" w:rsidRDefault="00F15948" w:rsidP="005B18EC">
            <w:pPr>
              <w:pStyle w:val="BodyText"/>
              <w:rPr>
                <w:sz w:val="20"/>
                <w:szCs w:val="20"/>
              </w:rPr>
            </w:pPr>
          </w:p>
        </w:tc>
        <w:tc>
          <w:tcPr>
            <w:tcW w:w="8080" w:type="dxa"/>
          </w:tcPr>
          <w:p w14:paraId="10D1F94A" w14:textId="3665A02F" w:rsidR="00F15948" w:rsidRDefault="00F15948" w:rsidP="00F15948">
            <w:pPr>
              <w:pStyle w:val="BodyText"/>
              <w:rPr>
                <w:rFonts w:ascii="Calibri" w:hAnsi="Calibri"/>
                <w:sz w:val="20"/>
                <w:szCs w:val="20"/>
              </w:rPr>
            </w:pPr>
            <w:r>
              <w:rPr>
                <w:rFonts w:ascii="Calibri" w:hAnsi="Calibri"/>
                <w:sz w:val="20"/>
                <w:szCs w:val="20"/>
              </w:rPr>
              <w:t>When do you usually meet victims?</w:t>
            </w:r>
          </w:p>
        </w:tc>
      </w:tr>
      <w:tr w:rsidR="00F15948" w:rsidRPr="00090F07" w14:paraId="53ADC762" w14:textId="77777777" w:rsidTr="00FC4F70">
        <w:tc>
          <w:tcPr>
            <w:tcW w:w="1985" w:type="dxa"/>
          </w:tcPr>
          <w:p w14:paraId="7B5E1EBD" w14:textId="77777777" w:rsidR="00F15948" w:rsidRPr="00090F07" w:rsidRDefault="00F15948" w:rsidP="005B18EC">
            <w:pPr>
              <w:pStyle w:val="BodyText"/>
              <w:rPr>
                <w:sz w:val="20"/>
                <w:szCs w:val="20"/>
              </w:rPr>
            </w:pPr>
          </w:p>
        </w:tc>
        <w:tc>
          <w:tcPr>
            <w:tcW w:w="8080" w:type="dxa"/>
          </w:tcPr>
          <w:p w14:paraId="4086D2B9" w14:textId="77777777" w:rsidR="00F15948" w:rsidRDefault="00F15948" w:rsidP="00F15948">
            <w:pPr>
              <w:pStyle w:val="BodyText"/>
              <w:rPr>
                <w:rFonts w:ascii="Calibri" w:hAnsi="Calibri"/>
                <w:sz w:val="20"/>
                <w:szCs w:val="20"/>
              </w:rPr>
            </w:pPr>
            <w:r>
              <w:rPr>
                <w:rFonts w:ascii="Calibri" w:hAnsi="Calibri"/>
                <w:sz w:val="20"/>
                <w:szCs w:val="20"/>
              </w:rPr>
              <w:t>U</w:t>
            </w:r>
            <w:r w:rsidRPr="00F15948">
              <w:rPr>
                <w:rFonts w:ascii="Calibri" w:hAnsi="Calibri"/>
                <w:sz w:val="20"/>
                <w:szCs w:val="20"/>
              </w:rPr>
              <w:t xml:space="preserve">sually we engage with victims when a young person's been sentenced so a young person needs to have been found guilty of something before we start to think about the impact of their behaviour and their behaviour on victims and so we may engage with young people's victims through the court process and mostly through the conditional release process which is like people would understand as the similar to the parole board in the adult system where victims may be able to make a submission to the conditional release training </w:t>
            </w:r>
            <w:r w:rsidRPr="00F15948">
              <w:rPr>
                <w:rFonts w:ascii="Calibri" w:hAnsi="Calibri"/>
                <w:sz w:val="20"/>
                <w:szCs w:val="20"/>
              </w:rPr>
              <w:t>centre</w:t>
            </w:r>
            <w:r w:rsidRPr="00F15948">
              <w:rPr>
                <w:rFonts w:ascii="Calibri" w:hAnsi="Calibri"/>
                <w:sz w:val="20"/>
                <w:szCs w:val="20"/>
              </w:rPr>
              <w:t xml:space="preserve"> review board about the impact of the behaviour so through the victims register which is really helpful for us it enables us to speak really openly and freely with those victims about what's happening for that young person</w:t>
            </w:r>
            <w:r>
              <w:rPr>
                <w:rFonts w:ascii="Calibri" w:hAnsi="Calibri"/>
                <w:sz w:val="20"/>
                <w:szCs w:val="20"/>
              </w:rPr>
              <w:t xml:space="preserve">. </w:t>
            </w:r>
          </w:p>
          <w:p w14:paraId="64CE26A7" w14:textId="245E3A66" w:rsidR="00F15948" w:rsidRDefault="00F15948" w:rsidP="00F15948">
            <w:pPr>
              <w:pStyle w:val="BodyText"/>
              <w:rPr>
                <w:rFonts w:ascii="Calibri" w:hAnsi="Calibri"/>
                <w:sz w:val="20"/>
                <w:szCs w:val="20"/>
              </w:rPr>
            </w:pPr>
            <w:r>
              <w:rPr>
                <w:rFonts w:ascii="Calibri" w:hAnsi="Calibri"/>
                <w:sz w:val="20"/>
                <w:szCs w:val="20"/>
              </w:rPr>
              <w:t>S</w:t>
            </w:r>
            <w:r w:rsidRPr="00F15948">
              <w:rPr>
                <w:rFonts w:ascii="Calibri" w:hAnsi="Calibri"/>
                <w:sz w:val="20"/>
                <w:szCs w:val="20"/>
              </w:rPr>
              <w:t xml:space="preserve">o we try and encourage people right at the start of the process when a young person is sentenced to a period of detention to learn about the register we encourage people to look on our website </w:t>
            </w:r>
            <w:proofErr w:type="spellStart"/>
            <w:r w:rsidRPr="00F15948">
              <w:rPr>
                <w:rFonts w:ascii="Calibri" w:hAnsi="Calibri"/>
                <w:sz w:val="20"/>
                <w:szCs w:val="20"/>
              </w:rPr>
              <w:t>i</w:t>
            </w:r>
            <w:proofErr w:type="spellEnd"/>
            <w:r w:rsidRPr="00F15948">
              <w:rPr>
                <w:rFonts w:ascii="Calibri" w:hAnsi="Calibri"/>
                <w:sz w:val="20"/>
                <w:szCs w:val="20"/>
              </w:rPr>
              <w:t xml:space="preserve"> do think people sometimes think because it's a youth justice system that we can't disclose anything so </w:t>
            </w:r>
            <w:proofErr w:type="spellStart"/>
            <w:r w:rsidRPr="00F15948">
              <w:rPr>
                <w:rFonts w:ascii="Calibri" w:hAnsi="Calibri"/>
                <w:sz w:val="20"/>
                <w:szCs w:val="20"/>
              </w:rPr>
              <w:t>i</w:t>
            </w:r>
            <w:proofErr w:type="spellEnd"/>
            <w:r w:rsidRPr="00F15948">
              <w:rPr>
                <w:rFonts w:ascii="Calibri" w:hAnsi="Calibri"/>
                <w:sz w:val="20"/>
                <w:szCs w:val="20"/>
              </w:rPr>
              <w:t xml:space="preserve"> think it's always helpful for people to be really clear about that right at the start</w:t>
            </w:r>
            <w:r>
              <w:rPr>
                <w:rFonts w:ascii="Calibri" w:hAnsi="Calibri"/>
                <w:sz w:val="20"/>
                <w:szCs w:val="20"/>
              </w:rPr>
              <w:t xml:space="preserve">. </w:t>
            </w:r>
          </w:p>
        </w:tc>
      </w:tr>
      <w:tr w:rsidR="00F15948" w:rsidRPr="00090F07" w14:paraId="70CF1B1E" w14:textId="77777777" w:rsidTr="00FC4F70">
        <w:tc>
          <w:tcPr>
            <w:tcW w:w="1985" w:type="dxa"/>
          </w:tcPr>
          <w:p w14:paraId="6F4AF2AA" w14:textId="77777777" w:rsidR="00F15948" w:rsidRPr="00090F07" w:rsidRDefault="00F15948" w:rsidP="005B18EC">
            <w:pPr>
              <w:pStyle w:val="BodyText"/>
              <w:rPr>
                <w:sz w:val="20"/>
                <w:szCs w:val="20"/>
              </w:rPr>
            </w:pPr>
          </w:p>
        </w:tc>
        <w:tc>
          <w:tcPr>
            <w:tcW w:w="8080" w:type="dxa"/>
          </w:tcPr>
          <w:p w14:paraId="294C57C0" w14:textId="3310098C" w:rsidR="00F15948" w:rsidRDefault="00F15948" w:rsidP="00F15948">
            <w:pPr>
              <w:pStyle w:val="BodyText"/>
              <w:rPr>
                <w:rFonts w:ascii="Calibri" w:hAnsi="Calibri"/>
                <w:sz w:val="20"/>
                <w:szCs w:val="20"/>
              </w:rPr>
            </w:pPr>
            <w:r>
              <w:rPr>
                <w:rFonts w:ascii="Calibri" w:hAnsi="Calibri"/>
                <w:sz w:val="20"/>
                <w:szCs w:val="20"/>
              </w:rPr>
              <w:t>Why is this helpful for victims?</w:t>
            </w:r>
          </w:p>
        </w:tc>
      </w:tr>
      <w:tr w:rsidR="00F15948" w:rsidRPr="00090F07" w14:paraId="65468320" w14:textId="77777777" w:rsidTr="00FC4F70">
        <w:tc>
          <w:tcPr>
            <w:tcW w:w="1985" w:type="dxa"/>
          </w:tcPr>
          <w:p w14:paraId="54503AD8" w14:textId="77777777" w:rsidR="00F15948" w:rsidRPr="00090F07" w:rsidRDefault="00F15948" w:rsidP="005B18EC">
            <w:pPr>
              <w:pStyle w:val="BodyText"/>
              <w:rPr>
                <w:sz w:val="20"/>
                <w:szCs w:val="20"/>
              </w:rPr>
            </w:pPr>
          </w:p>
        </w:tc>
        <w:tc>
          <w:tcPr>
            <w:tcW w:w="8080" w:type="dxa"/>
          </w:tcPr>
          <w:p w14:paraId="24EE4E81" w14:textId="7214A5E5" w:rsidR="00F15948" w:rsidRDefault="00F15948" w:rsidP="00F15948">
            <w:pPr>
              <w:pStyle w:val="BodyText"/>
              <w:rPr>
                <w:rFonts w:ascii="Calibri" w:hAnsi="Calibri"/>
                <w:sz w:val="20"/>
                <w:szCs w:val="20"/>
              </w:rPr>
            </w:pPr>
            <w:r>
              <w:rPr>
                <w:rFonts w:ascii="Calibri" w:hAnsi="Calibri"/>
                <w:sz w:val="20"/>
                <w:szCs w:val="20"/>
              </w:rPr>
              <w:t xml:space="preserve">I </w:t>
            </w:r>
            <w:r w:rsidRPr="00F15948">
              <w:rPr>
                <w:rFonts w:ascii="Calibri" w:hAnsi="Calibri"/>
                <w:sz w:val="20"/>
                <w:szCs w:val="20"/>
              </w:rPr>
              <w:t xml:space="preserve">think it's very important for victims to feel that their voices are heard throughout the whole process not just for the court process that they feel that we are taking seriously the impact of their crime and we're also helping young people to understand the impact of their behaviour on these particular families or individuals or sometimes communities sometimes the victims of crime are a whole community so </w:t>
            </w:r>
            <w:proofErr w:type="spellStart"/>
            <w:r w:rsidRPr="00F15948">
              <w:rPr>
                <w:rFonts w:ascii="Calibri" w:hAnsi="Calibri"/>
                <w:sz w:val="20"/>
                <w:szCs w:val="20"/>
              </w:rPr>
              <w:t>i</w:t>
            </w:r>
            <w:proofErr w:type="spellEnd"/>
            <w:r w:rsidRPr="00F15948">
              <w:rPr>
                <w:rFonts w:ascii="Calibri" w:hAnsi="Calibri"/>
                <w:sz w:val="20"/>
                <w:szCs w:val="20"/>
              </w:rPr>
              <w:t xml:space="preserve"> think it's very important for the victim to feel that they're not left aside </w:t>
            </w:r>
            <w:proofErr w:type="spellStart"/>
            <w:r w:rsidRPr="00F15948">
              <w:rPr>
                <w:rFonts w:ascii="Calibri" w:hAnsi="Calibri"/>
                <w:sz w:val="20"/>
                <w:szCs w:val="20"/>
              </w:rPr>
              <w:t>i</w:t>
            </w:r>
            <w:proofErr w:type="spellEnd"/>
            <w:r w:rsidRPr="00F15948">
              <w:rPr>
                <w:rFonts w:ascii="Calibri" w:hAnsi="Calibri"/>
                <w:sz w:val="20"/>
                <w:szCs w:val="20"/>
              </w:rPr>
              <w:t xml:space="preserve"> think it also creates a feeling of safety for that victim who may still be experiencing the impact of that crime and feel that they're not going to run into somebody in the street and they weren't aware that somebody had been released you</w:t>
            </w:r>
            <w:r>
              <w:rPr>
                <w:rFonts w:ascii="Calibri" w:hAnsi="Calibri"/>
                <w:sz w:val="20"/>
                <w:szCs w:val="20"/>
              </w:rPr>
              <w:t xml:space="preserve">. </w:t>
            </w:r>
          </w:p>
        </w:tc>
      </w:tr>
      <w:tr w:rsidR="006A6843" w:rsidRPr="00090F07" w14:paraId="6A041DE1" w14:textId="77777777" w:rsidTr="00FC4F70">
        <w:tc>
          <w:tcPr>
            <w:tcW w:w="1985" w:type="dxa"/>
          </w:tcPr>
          <w:p w14:paraId="377A3B22" w14:textId="77777777" w:rsidR="006A6843" w:rsidRPr="00090F07" w:rsidRDefault="006A6843" w:rsidP="005B18EC">
            <w:pPr>
              <w:pStyle w:val="BodyText"/>
              <w:rPr>
                <w:sz w:val="20"/>
                <w:szCs w:val="20"/>
              </w:rPr>
            </w:pPr>
            <w:r w:rsidRPr="00090F07">
              <w:rPr>
                <w:sz w:val="20"/>
                <w:szCs w:val="20"/>
              </w:rPr>
              <w:lastRenderedPageBreak/>
              <w:t xml:space="preserve">Closing card </w:t>
            </w:r>
          </w:p>
        </w:tc>
        <w:tc>
          <w:tcPr>
            <w:tcW w:w="8080" w:type="dxa"/>
          </w:tcPr>
          <w:p w14:paraId="04513822" w14:textId="77777777" w:rsidR="006A6843" w:rsidRPr="00090F07" w:rsidRDefault="006A6843" w:rsidP="005B18EC">
            <w:pPr>
              <w:pStyle w:val="BodyText"/>
              <w:rPr>
                <w:sz w:val="20"/>
                <w:szCs w:val="20"/>
              </w:rPr>
            </w:pPr>
            <w:r w:rsidRPr="00090F07">
              <w:rPr>
                <w:sz w:val="20"/>
                <w:szCs w:val="20"/>
              </w:rPr>
              <w:t>Have you been the victim of a crime?</w:t>
            </w:r>
          </w:p>
          <w:p w14:paraId="124BDAAF" w14:textId="77777777" w:rsidR="006A6843" w:rsidRDefault="00F15948" w:rsidP="005B18EC">
            <w:pPr>
              <w:pStyle w:val="BodyText"/>
              <w:rPr>
                <w:sz w:val="20"/>
                <w:szCs w:val="20"/>
              </w:rPr>
            </w:pPr>
            <w:r>
              <w:rPr>
                <w:sz w:val="20"/>
                <w:szCs w:val="20"/>
              </w:rPr>
              <w:t xml:space="preserve">You have rights. </w:t>
            </w:r>
          </w:p>
          <w:p w14:paraId="33B4E067" w14:textId="77777777" w:rsidR="00F15948" w:rsidRDefault="00F15948" w:rsidP="005B18EC">
            <w:pPr>
              <w:pStyle w:val="BodyText"/>
              <w:rPr>
                <w:sz w:val="20"/>
                <w:szCs w:val="20"/>
              </w:rPr>
            </w:pPr>
            <w:r>
              <w:rPr>
                <w:sz w:val="20"/>
                <w:szCs w:val="20"/>
              </w:rPr>
              <w:t>Find out more at Victims of Crime SA</w:t>
            </w:r>
          </w:p>
          <w:p w14:paraId="673B53A0" w14:textId="1DFA7B3D" w:rsidR="00F15948" w:rsidRPr="00090F07" w:rsidRDefault="00F15948" w:rsidP="005B18EC">
            <w:pPr>
              <w:pStyle w:val="BodyText"/>
              <w:rPr>
                <w:sz w:val="20"/>
                <w:szCs w:val="20"/>
              </w:rPr>
            </w:pPr>
            <w:r>
              <w:rPr>
                <w:sz w:val="20"/>
                <w:szCs w:val="20"/>
              </w:rPr>
              <w:t>www.voc.sa.gov.au</w:t>
            </w:r>
          </w:p>
        </w:tc>
      </w:tr>
    </w:tbl>
    <w:p w14:paraId="32996B1A" w14:textId="77777777" w:rsidR="00520E1B" w:rsidRPr="006A6843" w:rsidRDefault="00B764A1" w:rsidP="006A6843"/>
    <w:sectPr w:rsidR="00520E1B" w:rsidRPr="006A6843" w:rsidSect="00FC4F70">
      <w:headerReference w:type="even" r:id="rId6"/>
      <w:headerReference w:type="default" r:id="rId7"/>
      <w:headerReference w:type="first" r:id="rId8"/>
      <w:pgSz w:w="11900" w:h="16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BCEBD" w14:textId="77777777" w:rsidR="00B764A1" w:rsidRDefault="00B764A1" w:rsidP="009827EC">
      <w:r>
        <w:separator/>
      </w:r>
    </w:p>
  </w:endnote>
  <w:endnote w:type="continuationSeparator" w:id="0">
    <w:p w14:paraId="08EACFF5" w14:textId="77777777" w:rsidR="00B764A1" w:rsidRDefault="00B764A1" w:rsidP="0098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878B3" w14:textId="77777777" w:rsidR="00B764A1" w:rsidRDefault="00B764A1" w:rsidP="009827EC">
      <w:r>
        <w:separator/>
      </w:r>
    </w:p>
  </w:footnote>
  <w:footnote w:type="continuationSeparator" w:id="0">
    <w:p w14:paraId="73F24AD6" w14:textId="77777777" w:rsidR="00B764A1" w:rsidRDefault="00B764A1" w:rsidP="0098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BFA2" w14:textId="777EDAF8" w:rsidR="009827EC" w:rsidRDefault="009827EC">
    <w:pPr>
      <w:pStyle w:val="Header"/>
    </w:pPr>
    <w:r>
      <w:rPr>
        <w:noProof/>
      </w:rPr>
      <mc:AlternateContent>
        <mc:Choice Requires="wps">
          <w:drawing>
            <wp:anchor distT="0" distB="0" distL="0" distR="0" simplePos="0" relativeHeight="251659264" behindDoc="0" locked="0" layoutInCell="1" allowOverlap="1" wp14:anchorId="58A365BC" wp14:editId="46C84F26">
              <wp:simplePos x="635" y="635"/>
              <wp:positionH relativeFrom="column">
                <wp:align>center</wp:align>
              </wp:positionH>
              <wp:positionV relativeFrom="paragraph">
                <wp:posOffset>635</wp:posOffset>
              </wp:positionV>
              <wp:extent cx="443865" cy="443865"/>
              <wp:effectExtent l="0" t="0" r="1206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A365B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2C03" w14:textId="17F1F38E" w:rsidR="009827EC" w:rsidRDefault="009827EC">
    <w:pPr>
      <w:pStyle w:val="Header"/>
    </w:pPr>
    <w:r>
      <w:rPr>
        <w:noProof/>
      </w:rPr>
      <mc:AlternateContent>
        <mc:Choice Requires="wps">
          <w:drawing>
            <wp:anchor distT="0" distB="0" distL="0" distR="0" simplePos="0" relativeHeight="251660288" behindDoc="0" locked="0" layoutInCell="1" allowOverlap="1" wp14:anchorId="38195911" wp14:editId="04C8504A">
              <wp:simplePos x="635" y="635"/>
              <wp:positionH relativeFrom="column">
                <wp:align>center</wp:align>
              </wp:positionH>
              <wp:positionV relativeFrom="paragraph">
                <wp:posOffset>635</wp:posOffset>
              </wp:positionV>
              <wp:extent cx="443865" cy="443865"/>
              <wp:effectExtent l="0" t="0" r="1206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C3429" w14:textId="4935052B" w:rsidR="009827EC" w:rsidRPr="009827EC" w:rsidRDefault="009827EC">
                          <w:pPr>
                            <w:rPr>
                              <w:rFonts w:ascii="Arial" w:eastAsia="Arial" w:hAnsi="Arial" w:cs="Arial"/>
                              <w:color w:val="A8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19591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51FC3429" w14:textId="4935052B" w:rsidR="009827EC" w:rsidRPr="009827EC" w:rsidRDefault="009827EC">
                    <w:pPr>
                      <w:rPr>
                        <w:rFonts w:ascii="Arial" w:eastAsia="Arial" w:hAnsi="Arial" w:cs="Arial"/>
                        <w:color w:val="A8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C64C" w14:textId="77F1DF6C" w:rsidR="009827EC" w:rsidRDefault="009827EC">
    <w:pPr>
      <w:pStyle w:val="Header"/>
    </w:pPr>
    <w:r>
      <w:rPr>
        <w:noProof/>
      </w:rPr>
      <mc:AlternateContent>
        <mc:Choice Requires="wps">
          <w:drawing>
            <wp:anchor distT="0" distB="0" distL="0" distR="0" simplePos="0" relativeHeight="251658240" behindDoc="0" locked="0" layoutInCell="1" allowOverlap="1" wp14:anchorId="15152A7F" wp14:editId="0C4E3C9A">
              <wp:simplePos x="635" y="635"/>
              <wp:positionH relativeFrom="column">
                <wp:align>center</wp:align>
              </wp:positionH>
              <wp:positionV relativeFrom="paragraph">
                <wp:posOffset>635</wp:posOffset>
              </wp:positionV>
              <wp:extent cx="443865" cy="443865"/>
              <wp:effectExtent l="0" t="0" r="1206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52A7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UHQiUCAABNBAAADgAAAAAAAAAAAAAAAAAuAgAAZHJzL2Uyb0RvYy54bWxQSwEC&#10;LQAUAAYACAAAACEAhLDTKNYAAAADAQAADwAAAAAAAAAAAAAAAAB/BAAAZHJzL2Rvd25yZXYueG1s&#10;UEsFBgAAAAAEAAQA8wAAAIIFAAAAAA==&#10;" filled="f" stroked="f">
              <v:textbox style="mso-fit-shape-to-text:t" inset="0,0,0,0">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43"/>
    <w:rsid w:val="00090F07"/>
    <w:rsid w:val="001872BF"/>
    <w:rsid w:val="00191E32"/>
    <w:rsid w:val="003E56DC"/>
    <w:rsid w:val="006A6843"/>
    <w:rsid w:val="007C3226"/>
    <w:rsid w:val="009827EC"/>
    <w:rsid w:val="00A04188"/>
    <w:rsid w:val="00B764A1"/>
    <w:rsid w:val="00D401B9"/>
    <w:rsid w:val="00F15948"/>
    <w:rsid w:val="00FC4F70"/>
    <w:rsid w:val="00FC7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F835A"/>
  <w15:chartTrackingRefBased/>
  <w15:docId w15:val="{30D917B4-5B35-D148-84A9-21580CEE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4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Disclaimer"/>
    <w:basedOn w:val="DefaultParagraphFont"/>
    <w:uiPriority w:val="19"/>
    <w:qFormat/>
    <w:rsid w:val="00FC77A9"/>
    <w:rPr>
      <w:rFonts w:ascii="Arial" w:hAnsi="Arial"/>
      <w:i/>
      <w:iCs/>
      <w:color w:val="404040" w:themeColor="text1" w:themeTint="BF"/>
      <w:sz w:val="20"/>
    </w:rPr>
  </w:style>
  <w:style w:type="paragraph" w:styleId="BodyText">
    <w:name w:val="Body Text"/>
    <w:basedOn w:val="Normal"/>
    <w:link w:val="BodyTextChar"/>
    <w:qFormat/>
    <w:rsid w:val="006A6843"/>
    <w:pPr>
      <w:spacing w:before="120" w:after="120" w:line="360" w:lineRule="auto"/>
    </w:pPr>
    <w:rPr>
      <w:rFonts w:eastAsia="Times New Roman" w:cs="Times New Roman"/>
      <w:szCs w:val="24"/>
      <w:lang w:eastAsia="en-AU"/>
    </w:rPr>
  </w:style>
  <w:style w:type="character" w:customStyle="1" w:styleId="BodyTextChar">
    <w:name w:val="Body Text Char"/>
    <w:basedOn w:val="DefaultParagraphFont"/>
    <w:link w:val="BodyText"/>
    <w:rsid w:val="006A6843"/>
    <w:rPr>
      <w:rFonts w:eastAsia="Times New Roman" w:cs="Times New Roman"/>
      <w:sz w:val="22"/>
      <w:lang w:eastAsia="en-AU"/>
    </w:rPr>
  </w:style>
  <w:style w:type="table" w:styleId="TableGrid">
    <w:name w:val="Table Grid"/>
    <w:basedOn w:val="TableNormal"/>
    <w:uiPriority w:val="59"/>
    <w:rsid w:val="006A6843"/>
    <w:pPr>
      <w:spacing w:before="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2"/>
    <w:qFormat/>
    <w:rsid w:val="006A6843"/>
    <w:rPr>
      <w:sz w:val="20"/>
      <w:szCs w:val="22"/>
    </w:rPr>
  </w:style>
  <w:style w:type="paragraph" w:styleId="Header">
    <w:name w:val="header"/>
    <w:basedOn w:val="Normal"/>
    <w:link w:val="HeaderChar"/>
    <w:uiPriority w:val="99"/>
    <w:unhideWhenUsed/>
    <w:rsid w:val="009827EC"/>
    <w:pPr>
      <w:tabs>
        <w:tab w:val="center" w:pos="4513"/>
        <w:tab w:val="right" w:pos="9026"/>
      </w:tabs>
    </w:pPr>
  </w:style>
  <w:style w:type="character" w:customStyle="1" w:styleId="HeaderChar">
    <w:name w:val="Header Char"/>
    <w:basedOn w:val="DefaultParagraphFont"/>
    <w:link w:val="Header"/>
    <w:uiPriority w:val="99"/>
    <w:rsid w:val="009827EC"/>
    <w:rPr>
      <w:sz w:val="22"/>
      <w:szCs w:val="22"/>
    </w:rPr>
  </w:style>
  <w:style w:type="paragraph" w:styleId="Footer">
    <w:name w:val="footer"/>
    <w:basedOn w:val="Normal"/>
    <w:link w:val="FooterChar"/>
    <w:uiPriority w:val="99"/>
    <w:unhideWhenUsed/>
    <w:rsid w:val="009827EC"/>
    <w:pPr>
      <w:tabs>
        <w:tab w:val="center" w:pos="4513"/>
        <w:tab w:val="right" w:pos="9026"/>
      </w:tabs>
    </w:pPr>
  </w:style>
  <w:style w:type="character" w:customStyle="1" w:styleId="FooterChar">
    <w:name w:val="Footer Char"/>
    <w:basedOn w:val="DefaultParagraphFont"/>
    <w:link w:val="Footer"/>
    <w:uiPriority w:val="99"/>
    <w:rsid w:val="009827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Legedza, Christie (AGD)</dc:creator>
  <cp:keywords/>
  <dc:description/>
  <cp:lastModifiedBy>Uzumcu, Isabella (AGD)</cp:lastModifiedBy>
  <cp:revision>2</cp:revision>
  <dcterms:created xsi:type="dcterms:W3CDTF">2021-09-10T06:59:00Z</dcterms:created>
  <dcterms:modified xsi:type="dcterms:W3CDTF">2021-09-10T06:59:00Z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2021-08-27T01:31:04Z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195dedd6-dc0b-4f27-a20d-c5f785f3c369</vt:lpwstr>
  </property>
  <property fmtid="{D5CDD505-2E9C-101B-9397-08002B2CF9AE}" pid="11" name="MSIP_Label_77274858-3b1d-4431-8679-d878f40e28fd_ContentBits">
    <vt:lpwstr>1</vt:lpwstr>
  </property>
</Properties>
</file>